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A7D78">
      <w:pPr>
        <w:spacing w:line="360" w:lineRule="auto"/>
        <w:ind w:firstLine="1320" w:firstLineChars="300"/>
        <w:jc w:val="both"/>
        <w:rPr>
          <w:rFonts w:hint="eastAsia" w:ascii="仿宋_GB2312" w:hAnsi="仿宋_GB2312" w:eastAsia="仿宋_GB2312" w:cs="仿宋_GB2312"/>
          <w:bCs/>
          <w:sz w:val="32"/>
          <w:szCs w:val="32"/>
        </w:rPr>
      </w:pPr>
      <w:r>
        <w:rPr>
          <w:rFonts w:hint="eastAsia" w:ascii="方正小标宋简体" w:hAnsi="方正小标宋简体" w:eastAsia="方正小标宋简体" w:cs="方正小标宋简体"/>
          <w:b w:val="0"/>
          <w:bCs w:val="0"/>
          <w:sz w:val="44"/>
          <w:szCs w:val="44"/>
          <w:lang w:eastAsia="zh-CN"/>
        </w:rPr>
        <w:t>第五讲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化脓性脊柱炎的诊断与治疗</w:t>
      </w:r>
    </w:p>
    <w:p w14:paraId="7DCDA7FB">
      <w:pPr>
        <w:keepNext w:val="0"/>
        <w:keepLines w:val="0"/>
        <w:pageBreakBefore w:val="0"/>
        <w:kinsoku/>
        <w:wordWrap/>
        <w:overflowPunct/>
        <w:topLinePunct w:val="0"/>
        <w:autoSpaceDE/>
        <w:autoSpaceDN/>
        <w:bidi w:val="0"/>
        <w:adjustRightInd/>
        <w:snapToGrid/>
        <w:spacing w:line="590" w:lineRule="exact"/>
        <w:ind w:firstLine="2240" w:firstLineChars="7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rPr>
        <w:t>福建医科大学附属第一医院</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吕建华</w:t>
      </w:r>
    </w:p>
    <w:p w14:paraId="0339A628">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p>
    <w:p w14:paraId="42FCDCD7">
      <w:pPr>
        <w:keepNext w:val="0"/>
        <w:keepLines w:val="0"/>
        <w:pageBreakBefore w:val="0"/>
        <w:widowControl/>
        <w:shd w:val="clear" w:color="auto" w:fill="FFFFFF"/>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一、概述</w:t>
      </w:r>
    </w:p>
    <w:p w14:paraId="1C0DF34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化脓性脊柱炎的发病率为每10万居民0.059至2.4例，是一种罕见疾病，主要影响高龄男性（平均年龄66岁），发病率随年龄增长而增加。在20岁以下的患者中，发病率仅为每10万居民0.3例，而在70岁以上的患者中，发病率已达到每10万居民6.5例。近年来，化脓性脊柱炎的发病率显著增加。原因包括诊断技术的改进（影像学技术的普及和改进）、风险患者数量的增加（高龄、多种合并症、免疫抑制、侵入性血管设备、静脉药物滥用）以及脊柱手术，尤其是脊柱内固定手术的急剧增加。</w:t>
      </w:r>
    </w:p>
    <w:p w14:paraId="740C682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脊柱炎伴随着显著的发病率和死亡率。住院时间中位数为31.5天，死亡率在2%至12.4%之间。C反应蛋白升高、高龄和Charlson合并症指数大于2与死亡率增加相关。由于症状通常较为非特异性，如背痛和发热，尽管诊断技术有所改进，化脓性脊柱炎仍常常被延迟诊断。在病原体培养阳性的患者中，诊断通常在30.2天内做出，而在病原体培养阴性且未检测到病原体的患者中，诊断平均延迟至72.2天。这可能导致严重后果，如永久性神经功能缺损、脊柱畸形或不稳定，甚至致命后果。因此，尽早诊断和立即开始抗生素治疗至关重要。</w:t>
      </w:r>
    </w:p>
    <w:p w14:paraId="1B03DDC9">
      <w:pPr>
        <w:keepNext w:val="0"/>
        <w:keepLines w:val="0"/>
        <w:pageBreakBefore w:val="0"/>
        <w:widowControl/>
        <w:shd w:val="clear" w:color="auto" w:fill="FFFFFF"/>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二、诊断</w:t>
      </w:r>
    </w:p>
    <w:p w14:paraId="043ECACE">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1.临床表现</w:t>
      </w:r>
    </w:p>
    <w:p w14:paraId="72B77BD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没有神经功能缺损，单独的临床表现通常无法确诊，因为症状往往是非特异性的。因此，诊断应基于临床、影像学和实验室检查结果的综合评估。背痛是最常见的临床症状，占66-86%，其次是发热，占病原体培养阳性患者的85%和病原体培养阴性患者的32%。伴随感染（尿路感染、脓肿、皮肤感染、肺炎等）在病原体培养阳性患者中占47%，而在病原体培养阴性患者中仅占4%。神经症状或功能缺损占16-34%。</w:t>
      </w:r>
    </w:p>
    <w:p w14:paraId="0415E0C3">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2.实验室检查</w:t>
      </w:r>
    </w:p>
    <w:p w14:paraId="2FBFFBE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验室检查应包括全血细胞计数（包括白细胞计数、C反应蛋白）和至少两组需氧和厌氧血培养。理想情况下，血培养应在发热期间采集。病原体检出率约为60%。对于高风险患者，培养时间应超过常规的72小时，并应检查分枝杆菌和真菌培养。血沉是非特异性的，现已被认为过时。</w:t>
      </w:r>
    </w:p>
    <w:p w14:paraId="6A6AF4B9">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3.危险因素</w:t>
      </w:r>
    </w:p>
    <w:p w14:paraId="332A859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病史和临床检查还应包括寻找可能的血行传播途径（如皮肤溃疡）和免疫抑制的病史。大约10%的脊柱炎发生在术后（无植入物）。</w:t>
      </w:r>
    </w:p>
    <w:p w14:paraId="5F0EA63E">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4.预后不良因素</w:t>
      </w:r>
    </w:p>
    <w:p w14:paraId="30C5E77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高龄、 颈椎/胸椎受累、糖尿病、慢性心脏病、神经功能缺损、 膀胱/直肠功能障碍、 诊断延迟、耐甲氧西林金黄色葡萄球菌（MRSA）、手术后时间超过36小时。</w:t>
      </w:r>
    </w:p>
    <w:p w14:paraId="2A2C3572">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5、影像学检查</w:t>
      </w:r>
    </w:p>
    <w:p w14:paraId="0465385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选影像学检查是全脊柱MRI，包括平扫或增强扫描。特别是在亚急性期，MRI有助于诊断脊柱炎。MRI表现为T2加权像上高信号和T1加权像上低信号的椎间盘和相邻终板。椎旁软组织的炎症和水肿表现为T2加权像上的信号增强，尤其是在脂肪抑制或STIR（短时反转恢复）序列中。敏感性在症状出现≥2周时约为97%，在症状出现&lt;2周时约为90%。因此，早期脊柱炎可能在早期阶段被漏诊。在怀疑病例中，应考虑在约2周后重复MRI检查。MRI应检查整个脊柱，因为约6%的患者有多个运动节段的广泛病变，约3%的患者有多个病灶，即“跳跃性病变”。MRI还能更好地检测脊柱硬膜外脓肿和椎旁软组织脓肿。</w:t>
      </w:r>
    </w:p>
    <w:p w14:paraId="12C5042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X线和CT在早期阶段帮助不大，因为骨破坏通常在病程后期出现，通常在症状出现后3-6周才能检测到。X线显示骨破坏仅在椎体破坏≥30%时可见。然而，建议进行CT检查以显示椎间盘内气体和骨破坏的程度，尤其是相邻终板的破坏。在需要手术时，应进行CT以进行术前计划。</w:t>
      </w:r>
    </w:p>
    <w:p w14:paraId="4C001FBC">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6.CT引导下的活检</w:t>
      </w:r>
    </w:p>
    <w:p w14:paraId="532B155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如果已经从血流或其他组织中检测到病原体，则不再推荐CT引导下的活检。开放式外科活检被认为是金标准。一项回顾性研究显示，与CT引导下的活检相比，开放式活检的病原体检出率显著更高（91% vs. 53%）。然而，尚不清楚脊柱炎的严重程度是否起作用，因为严重病例通常通过手术处理，从而获得开放式活检，以及严重病程是否与更高的病原体负荷相关。在计划进行CT引导下或开放式活检时，应避免事先使用抗生素。</w:t>
      </w:r>
    </w:p>
    <w:p w14:paraId="72177383">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7.开放式活检</w:t>
      </w:r>
    </w:p>
    <w:p w14:paraId="3BE7464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与CT引导下活检的比较，开放式活检的阳性率较高。来自33项研究的综述和荟萃分析的新数据显示，CT引导下活检的病原体检出率约为48%，显著低于开放式外科活检的76%（p = 0.01）。然而，在事先使用抗生素的情况下，未发现显著差异（未使用抗生素43% vs. 事先使用抗生素32%，p = 0.08）。当然，由于研究人群的异质性，这些数据应谨慎对待。另一项来自11项回顾性研究的综述发现，CT引导下活检的平均病原体检出率为33%。如果已经从血流或其他组织中检测到病原体，则不再推荐CT引导下的活检。目前最可靠的诊断方法是基于MRI和血液或其他组织中的阳性培养结果。</w:t>
      </w:r>
    </w:p>
    <w:p w14:paraId="1C21C0F7">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三、病原微生物</w:t>
      </w:r>
    </w:p>
    <w:p w14:paraId="593BB06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常化脓性脊柱炎是由金黄色葡萄球菌引起的单细菌感染。在总队列中，耐甲氧西林金黄色葡萄球菌（MRSA）占2%，在所有金黄色葡萄球菌感染中占5.5%。术后无植入物的脊柱炎（53%）显著更常见于凝固酶阴性葡萄球菌，而其余队列中为14%。</w:t>
      </w:r>
    </w:p>
    <w:p w14:paraId="23186AE0">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四、病理生理学</w:t>
      </w:r>
    </w:p>
    <w:p w14:paraId="44983D1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化脓性脊柱炎有三种感染途径：血行感染、医源性感染、邻近器官传播。血行感染是最常见的传播途径。脊柱受累区域按降序排列如下：腰椎最常受累（58%），其次为胸椎（30%），颈椎占比最低（11%）。医源性感染通常在脊柱手术后、腰椎穿刺后。邻近器官传播的感染较为罕见，通常由邻近器官/组织的感染引起，例如食管破裂、咽后脓肿或感染的主动脉假体。</w:t>
      </w:r>
    </w:p>
    <w:p w14:paraId="4D621F4A">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五、治疗</w:t>
      </w:r>
    </w:p>
    <w:p w14:paraId="6ACD456D">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1.治疗目标</w:t>
      </w:r>
    </w:p>
    <w:p w14:paraId="3528D73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只要没有神经功能缺损、脊柱不稳定/畸形或需要引流的脓肿/脊柱脓胸，治疗可以通过固定和适当的抗生素及镇痛治疗进行保守治疗。</w:t>
      </w:r>
    </w:p>
    <w:p w14:paraId="2213B1AB">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2.抗生素使用</w:t>
      </w:r>
    </w:p>
    <w:p w14:paraId="5332093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理想情况下，在开始抗生素治疗前应采集血培养，并在无法检测到病原体时进行CT引导下的活检。如果患者血流动力学和神经功能稳定，应在临床允许的情况下，等待病原体检测结果后再开始抗生素治疗，以便开始针对病原体的抗生素治疗。然而，如果患者因败血症而血流动力学不稳定或出现神经功能缺损，应尽快开始经验性抗生素治疗。在获得抗生素和耐药性测试结果后，应调整抗生素治疗方案。根据迄今为止唯一的多中心前瞻性随机研究结果，静脉抗生素治疗的持续时间（1周vs.2周）在治疗失败方面没有显著差异，同样，抗生素治疗的总持续时间（6周 vs.12周）在治愈率方面也没有显著差异，尽管年龄≥75岁和金黄色葡萄球菌感染是治疗失败的风险因素。美国传染病学会（IDSA）在其临床实践指南中也建议抗生素治疗的总持续时间为6周。</w:t>
      </w:r>
    </w:p>
    <w:p w14:paraId="5C48C225">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3.保守治疗</w:t>
      </w:r>
    </w:p>
    <w:p w14:paraId="2DBA035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没有神经功能缺损、需要引流的椎管内或椎旁脓肿以及脊柱不稳定/畸形，保守治疗可能是一个有效的选择。对于手术并发症风险高的患者以及存在相对手术禁忌症的患者（如高龄、严重合并症、免疫抑制等），可以考虑保守治疗。在一项针对65岁以上患者的研究中，所有手术患者和73%的保守治疗患者均显示出神经功能改善。除一名患者外，所有患者（98%）均实现了骨融合。</w:t>
      </w:r>
    </w:p>
    <w:p w14:paraId="3F21F22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优先考虑迅速获取病原体并尽早开始抗生素治疗，首先是经验性治疗，然后根据病原体调整治疗方案。如上所述，抗生素治疗应静脉注射1-2周，然后口服6-12周。在理想情况下，无并发症的脊柱炎在静脉注射1周和总共6-8周的抗生素治疗后可以治愈。为了最小化复发风险，对于高风险患者（如终末期肾功能衰竭、MRSA感染、未引流的椎旁或腰大肌脓肿），抗生素治疗应至少持续8周。在一项回顾性研究中，复发风险显著降低（4-6周34.8%，6-8周29.6%，≥8周9.6%；p = 0.002）。即使是没有风险因素的患者，在≥8周的抗生素治疗后也显示出显著较少的复发（4-6周12.0%，6-8周6.3%，≥8周2.2%；p = 0.02）。</w:t>
      </w:r>
    </w:p>
    <w:p w14:paraId="3E6AB8F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在败血症病程中，应尽早手术。如果患者血流动力学不稳定，则需要仔细权衡立即手术或稳定循环状况后延迟手术的利弊。一方面，手术可能增加发病率和死亡率，另一方面，如果败血症的原因是广泛的硬膜外脓肿或严重的神经功能缺损和/或高度不稳定，手术可能是挽救生命的。无论如何，所有相关科室的密切合作对于适当的治疗至关重要。</w:t>
      </w:r>
    </w:p>
    <w:p w14:paraId="56EC458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保守治疗中，长时间制动（例如直到炎症指标正常化）由于相关风险而相对禁忌。可以使用支具来缓解疼痛。目前尚缺乏支具有效固定的生物力学证据。然而，至少在6个月的短期随访中，与胸腰骶支具相比，单节段脊柱炎的经皮后路内固定与更快的康复、更低的疼痛评分和更好的生活质量相关。如果保守治疗在4-6周内无效，应考虑手术治疗。</w:t>
      </w:r>
    </w:p>
    <w:p w14:paraId="695E5E0E">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4.手术治疗</w:t>
      </w:r>
    </w:p>
    <w:p w14:paraId="7F34ED4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手术治疗的目标是通过积极的清创（包括引流椎旁脓肿）和病原体获取来消除感染，充分减压和稳定以应对潜在的或明显的神经功能缺损和脊柱不稳定/畸形，以及通过骨融合实现愈合。因此，手术方法主要取决于具体情况。手术方法在一定程度上也取决于手术者的偏好和专业水平。</w:t>
      </w:r>
    </w:p>
    <w:p w14:paraId="0A66B1F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保守治疗失败也是相对手术指征。如果在4-6周的适当保守治疗后仅影像学显示恶化，但临床症状和炎症指标有所改善，根据2015年IDSA指南，不建议手术治疗。</w:t>
      </w:r>
    </w:p>
    <w:p w14:paraId="6AB7F5D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手术方法包括经皮微创或内镜减压、后路内固定、椎间融合、椎体切除并自体骨或异体材料（PEEK、钛等），前路或后路或两者结合的重建。然而，根据脊柱炎的严重程度，建议采用分级手术方法。当然，也有例外情况。例如，胸椎单节段脊柱炎不涉及后部结构也可以通过纯前路经胸椎间盘切除和融合治疗。然而，主要的手术治疗方法是后路减压和必要时前路融合，具体取决于骨破坏的程度或不稳定性。</w:t>
      </w:r>
    </w:p>
    <w:p w14:paraId="2AC03731">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六、总结</w:t>
      </w:r>
    </w:p>
    <w:p w14:paraId="73412C4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风险患者（高龄、合并症、免疫抑制、MRSA、非典型/多重病原体脊柱炎）和脊柱手术数量的不断增加，导致脊柱炎发病率显著增加。改进的诊断和手术技术（微创经皮或内镜技术、脊柱导航等）已将这种严重且常常危及生命的疾病的死亡率降至低于5%。然而，诊断仍然只能基于临床症状（通常是非特异性的）、炎症指标升高和影像学检查结果（金标准MRI）。预后主要取决于从首次症状到诊断的时间以及术前神经功能缺损的持续时间和严重程度。关于这种疾病的高质量证据大多不存在，因此无法得出明确的治疗指南。尽管大多数学者明确倾向于手术治疗而非保守治疗，但在某些情况下，保守治疗确实有其合理性。早期手术的优点是可以在病情较轻的患者中进行较少侵入性的手术，而在晚期病情严重的患者中，手术通常伴随着广泛的骨破坏和后凸畸形，需要高侵入性的手术方法，同时显著增加围手术期并发症风险。此外，手术治疗在残留背痛和神经功能缺损方面似乎也优于保守治疗，即使是老年患者。此外，延迟手术似乎与较差的手术结果相关。因此，如果有手术指征，应尽早进行手术。与手术相关的并发症可以通过尽可能少侵入性或微创手术减少或最小化，并且还可以缩短手术时间、住院时间、更快缓解疼痛、减少镇痛药需求和早期活动。未来需要更大规模的前瞻性随机研究，比较保守治疗与手术治疗的优劣，以及开放手术与微创手术技术在长期结果和生活质量方面的比较。</w:t>
      </w:r>
    </w:p>
    <w:p w14:paraId="5204AB7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简而言之，早期诊断（症状、炎症指标、影像学）和病原体获取是脊柱炎预后的决定性因素。无并发症的脊柱炎（无多重耐药病原体、无未引流的脓肿、无合并症、无风险因素）通常可以通过6-8周的抗生素治疗保守治愈。任何神经功能缺损、脊柱不稳定和/或后凸畸形以及败血症的存在都是手术指征。</w:t>
      </w:r>
    </w:p>
    <w:p w14:paraId="7B7BB323">
      <w:pPr>
        <w:keepNext w:val="0"/>
        <w:keepLines w:val="0"/>
        <w:pageBreakBefore w:val="0"/>
        <w:widowControl/>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6FF27C4C">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color w:val="222222"/>
          <w:spacing w:val="8"/>
          <w:sz w:val="32"/>
          <w:szCs w:val="32"/>
          <w:shd w:val="clear" w:color="auto" w:fill="FFFFFF"/>
        </w:rPr>
      </w:pPr>
      <w:r>
        <w:rPr>
          <w:rFonts w:hint="eastAsia" w:ascii="仿宋_GB2312" w:hAnsi="仿宋_GB2312" w:eastAsia="仿宋_GB2312" w:cs="仿宋_GB2312"/>
          <w:b/>
          <w:bCs/>
          <w:color w:val="222222"/>
          <w:spacing w:val="8"/>
          <w:sz w:val="32"/>
          <w:szCs w:val="32"/>
          <w:shd w:val="clear" w:color="auto" w:fill="FFFFFF"/>
          <w:lang w:eastAsia="zh-CN"/>
        </w:rPr>
        <w:t>附单</w:t>
      </w:r>
      <w:r>
        <w:rPr>
          <w:rFonts w:hint="eastAsia" w:ascii="仿宋_GB2312" w:hAnsi="仿宋_GB2312" w:eastAsia="仿宋_GB2312" w:cs="仿宋_GB2312"/>
          <w:b/>
          <w:bCs/>
          <w:color w:val="222222"/>
          <w:spacing w:val="8"/>
          <w:sz w:val="32"/>
          <w:szCs w:val="32"/>
          <w:shd w:val="clear" w:color="auto" w:fill="FFFFFF"/>
        </w:rPr>
        <w:t>选</w:t>
      </w:r>
      <w:bookmarkStart w:id="0" w:name="_GoBack"/>
      <w:bookmarkEnd w:id="0"/>
      <w:r>
        <w:rPr>
          <w:rFonts w:hint="eastAsia" w:ascii="仿宋_GB2312" w:hAnsi="仿宋_GB2312" w:eastAsia="仿宋_GB2312" w:cs="仿宋_GB2312"/>
          <w:b/>
          <w:bCs/>
          <w:color w:val="222222"/>
          <w:spacing w:val="8"/>
          <w:sz w:val="32"/>
          <w:szCs w:val="32"/>
          <w:shd w:val="clear" w:color="auto" w:fill="FFFFFF"/>
        </w:rPr>
        <w:t>题：</w:t>
      </w:r>
    </w:p>
    <w:p w14:paraId="617F22D8">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1.对于疑似化脓性脊柱炎的患者，以下哪种影像学检查被推荐作为首选？（</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65689800">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A. </w:t>
      </w:r>
      <w:r>
        <w:rPr>
          <w:rFonts w:hint="eastAsia" w:ascii="仿宋_GB2312" w:hAnsi="仿宋_GB2312" w:eastAsia="仿宋_GB2312" w:cs="仿宋_GB2312"/>
          <w:kern w:val="0"/>
          <w:sz w:val="32"/>
          <w:szCs w:val="32"/>
        </w:rPr>
        <w:t>平片X光</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rPr>
        <w:t>B. 磁共振成像（MRI）</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rPr>
        <w:t>C. 骨扫描</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rPr>
        <w:t>D. 超声检查</w:t>
      </w:r>
    </w:p>
    <w:p w14:paraId="07697AEC">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2.对于化脓性脊柱炎患者，以下哪种情况推荐立即进行经验性抗菌治疗？（</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749D5CC3">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患者有稳定的神经功能状态和稳定的血流动力学</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患者有进行性神经功能缺损或脓毒症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患者有轻度发热但无其他症状</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患者有慢性背痛但无发热</w:t>
      </w:r>
    </w:p>
    <w:p w14:paraId="3350974D">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3.化脓性脊柱炎的标准抗菌治疗疗程是多久？（</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35C943C2">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2周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4周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6周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8周</w:t>
      </w:r>
    </w:p>
    <w:p w14:paraId="3E171817">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4.对于化脓性脊柱炎患者，以下哪种情况推荐进行手术干预？（</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1704113C">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患者有持续性疼痛但无神经功能缺损</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患者有进行性神经功能缺损或脊柱不稳定</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患者有轻度背痛但无发热</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患者有慢性背痛但无影像学改变</w:t>
      </w:r>
    </w:p>
    <w:p w14:paraId="641F5521">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5.对于化脓性脊柱炎患者，以下哪种微生物感染通常需要更长的抗菌治疗疗程？（</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2111BD63">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金黄色葡萄球菌</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大肠杆菌</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布鲁氏菌</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肺炎链球菌</w:t>
      </w:r>
    </w:p>
    <w:p w14:paraId="2F59E5C8">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6.在化脓性脊柱炎的诊断过程中，以下哪种检查对于排除其他疾病（如肿瘤或退行性疾病）至关重要？（</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26D0F988">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血常规检查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病理检查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血培养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C反应蛋白</w:t>
      </w:r>
    </w:p>
    <w:p w14:paraId="2FDEDD19">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7.在化脓性脊柱炎的诊断中，以下哪种影像学检查方法不建议作为首选？（</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13D4D497">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MRI</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CT扫描</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骨扫描</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平片X光</w:t>
      </w:r>
    </w:p>
    <w:p w14:paraId="188F1A3F">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b/>
          <w:bCs/>
          <w:sz w:val="32"/>
          <w:szCs w:val="32"/>
        </w:rPr>
        <w:t xml:space="preserve"> 化脓性脊柱炎最常见于哪个部位？（</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2670FD7B">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颈椎</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胸椎</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腰椎</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骶椎</w:t>
      </w:r>
    </w:p>
    <w:p w14:paraId="39CED30A">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9.对于高风险患者（如终末期肾功能衰竭、MRSA感染、未引流的椎旁或腰大肌脓肿），抗生素治疗应至少持续：（</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4E830A36">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4周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6周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8周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10周</w:t>
      </w:r>
    </w:p>
    <w:p w14:paraId="5FB994DB">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b/>
          <w:bCs/>
          <w:color w:val="060607"/>
          <w:spacing w:val="8"/>
          <w:kern w:val="0"/>
          <w:sz w:val="32"/>
          <w:szCs w:val="32"/>
          <w14:ligatures w14:val="none"/>
        </w:rPr>
        <w:t xml:space="preserve"> </w:t>
      </w:r>
      <w:r>
        <w:rPr>
          <w:rFonts w:hint="eastAsia" w:ascii="仿宋_GB2312" w:hAnsi="仿宋_GB2312" w:eastAsia="仿宋_GB2312" w:cs="仿宋_GB2312"/>
          <w:b/>
          <w:bCs/>
          <w:sz w:val="32"/>
          <w:szCs w:val="32"/>
        </w:rPr>
        <w:t>手术治疗NVO的目标不包括以下哪一项？（</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14:paraId="369DE7D4">
      <w:pPr>
        <w:keepNext w:val="0"/>
        <w:keepLines w:val="0"/>
        <w:pageBreakBefore w:val="0"/>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消除感染并获取病原体</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充分减压和稳定脊柱</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通过骨融合实现愈合</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长时间制动以促进自然恢复</w:t>
      </w: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33032E"/>
    <w:rsid w:val="0009541E"/>
    <w:rsid w:val="00112722"/>
    <w:rsid w:val="002D32C1"/>
    <w:rsid w:val="00310E6F"/>
    <w:rsid w:val="0033032E"/>
    <w:rsid w:val="003B03D5"/>
    <w:rsid w:val="00451309"/>
    <w:rsid w:val="004C49D0"/>
    <w:rsid w:val="004C67A8"/>
    <w:rsid w:val="004F50D9"/>
    <w:rsid w:val="0061261C"/>
    <w:rsid w:val="00742B18"/>
    <w:rsid w:val="007D3AD3"/>
    <w:rsid w:val="007F0CC8"/>
    <w:rsid w:val="00830E08"/>
    <w:rsid w:val="00846FE0"/>
    <w:rsid w:val="00851B30"/>
    <w:rsid w:val="009D5C45"/>
    <w:rsid w:val="00AA33C0"/>
    <w:rsid w:val="00BB37E5"/>
    <w:rsid w:val="00BF6C65"/>
    <w:rsid w:val="00C108DB"/>
    <w:rsid w:val="00D05E5D"/>
    <w:rsid w:val="00D7156D"/>
    <w:rsid w:val="00E017C3"/>
    <w:rsid w:val="00EC5EBA"/>
    <w:rsid w:val="09992C64"/>
    <w:rsid w:val="09DB49E0"/>
    <w:rsid w:val="347301E2"/>
    <w:rsid w:val="45811695"/>
    <w:rsid w:val="587651AC"/>
    <w:rsid w:val="78844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496"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496" w:themeColor="accent1" w:themeShade="BF"/>
      <w:sz w:val="40"/>
      <w:szCs w:val="40"/>
    </w:rPr>
  </w:style>
  <w:style w:type="paragraph" w:styleId="4">
    <w:name w:val="heading 3"/>
    <w:basedOn w:val="1"/>
    <w:next w:val="1"/>
    <w:link w:val="19"/>
    <w:unhideWhenUsed/>
    <w:qFormat/>
    <w:uiPriority w:val="9"/>
    <w:pPr>
      <w:keepNext/>
      <w:keepLines/>
      <w:spacing w:before="160" w:after="80"/>
      <w:outlineLvl w:val="2"/>
    </w:pPr>
    <w:rPr>
      <w:rFonts w:asciiTheme="majorHAnsi" w:hAnsiTheme="majorHAnsi" w:eastAsiaTheme="majorEastAsia" w:cstheme="majorBidi"/>
      <w:color w:val="2F5496"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496"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496"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496"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496"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496" w:themeColor="accent1" w:themeShade="BF"/>
      <w:sz w:val="40"/>
      <w:szCs w:val="40"/>
    </w:rPr>
  </w:style>
  <w:style w:type="character" w:customStyle="1" w:styleId="19">
    <w:name w:val="标题 3 字符"/>
    <w:basedOn w:val="16"/>
    <w:link w:val="4"/>
    <w:qFormat/>
    <w:uiPriority w:val="9"/>
    <w:rPr>
      <w:rFonts w:asciiTheme="majorHAnsi" w:hAnsiTheme="majorHAnsi" w:eastAsiaTheme="majorEastAsia" w:cstheme="majorBidi"/>
      <w:color w:val="2F5496" w:themeColor="accent1" w:themeShade="BF"/>
      <w:sz w:val="32"/>
      <w:szCs w:val="32"/>
    </w:rPr>
  </w:style>
  <w:style w:type="character" w:customStyle="1" w:styleId="20">
    <w:name w:val="标题 4 字符"/>
    <w:basedOn w:val="16"/>
    <w:link w:val="5"/>
    <w:semiHidden/>
    <w:qFormat/>
    <w:uiPriority w:val="9"/>
    <w:rPr>
      <w:rFonts w:cstheme="majorBidi"/>
      <w:color w:val="2F5496" w:themeColor="accent1" w:themeShade="BF"/>
      <w:sz w:val="28"/>
      <w:szCs w:val="28"/>
    </w:rPr>
  </w:style>
  <w:style w:type="character" w:customStyle="1" w:styleId="21">
    <w:name w:val="标题 5 字符"/>
    <w:basedOn w:val="16"/>
    <w:link w:val="6"/>
    <w:semiHidden/>
    <w:qFormat/>
    <w:uiPriority w:val="9"/>
    <w:rPr>
      <w:rFonts w:cstheme="majorBidi"/>
      <w:color w:val="2F5496" w:themeColor="accent1" w:themeShade="BF"/>
      <w:sz w:val="24"/>
      <w:szCs w:val="24"/>
    </w:rPr>
  </w:style>
  <w:style w:type="character" w:customStyle="1" w:styleId="22">
    <w:name w:val="标题 6 字符"/>
    <w:basedOn w:val="16"/>
    <w:link w:val="7"/>
    <w:semiHidden/>
    <w:qFormat/>
    <w:uiPriority w:val="9"/>
    <w:rPr>
      <w:rFonts w:cstheme="majorBidi"/>
      <w:b/>
      <w:bCs/>
      <w:color w:val="2F5496"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496"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customStyle="1" w:styleId="33">
    <w:name w:val="明显引用 字符"/>
    <w:basedOn w:val="16"/>
    <w:link w:val="32"/>
    <w:qFormat/>
    <w:uiPriority w:val="30"/>
    <w:rPr>
      <w:i/>
      <w:iCs/>
      <w:color w:val="2F5496" w:themeColor="accent1" w:themeShade="BF"/>
    </w:rPr>
  </w:style>
  <w:style w:type="character" w:customStyle="1" w:styleId="34">
    <w:name w:val="Intense Reference"/>
    <w:basedOn w:val="16"/>
    <w:qFormat/>
    <w:uiPriority w:val="32"/>
    <w:rPr>
      <w:b/>
      <w:bCs/>
      <w:smallCaps/>
      <w:color w:val="2F5496"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4891</Words>
  <Characters>5196</Characters>
  <Lines>40</Lines>
  <Paragraphs>11</Paragraphs>
  <TotalTime>40</TotalTime>
  <ScaleCrop>false</ScaleCrop>
  <LinksUpToDate>false</LinksUpToDate>
  <CharactersWithSpaces>5278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2025-02-10T13:47:00Z</dcterms:created>
  <dc:creator>建华 吕</dc:creator>
  <cp:lastModifiedBy>lenovo</cp:lastModifiedBy>
  <dcterms:modified xsi:type="dcterms:W3CDTF">2025-06-17T07:55:24Z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eyJoZGlkIjoiMDAxYmE2ZWJmM2RkM2I4YjQwM2FjMjkzN2EyMTE1MGUifQ==</vt:lpwstr>
  </property>
  <property fmtid="{D5CDD505-2E9C-101B-9397-08002B2CF9AE}" pid="3" name="KSOProductBuildVer">
    <vt:lpwstr>2052-12.1.0.21541</vt:lpwstr>
  </property>
  <property fmtid="{D5CDD505-2E9C-101B-9397-08002B2CF9AE}" pid="4" name="ICV">
    <vt:lpwstr>664331446608424A99408E742ADC92CF_12</vt:lpwstr>
  </property>
</Properties>
</file>